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lane-cove-profile"/>
    <w:p>
      <w:pPr>
        <w:pStyle w:val="Heading1"/>
      </w:pPr>
      <w:r>
        <w:t xml:space="preserve">Lane Cove Profile</w:t>
      </w:r>
    </w:p>
    <w:p>
      <w:pPr>
        <w:pStyle w:val="FirstParagraph"/>
      </w:pPr>
      <w:r>
        <w:t xml:space="preserve">Report generated on 02 January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40,028          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Lane Cove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21,968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Lane Cove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$73,707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$3,810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25,357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4,356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3,763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2,258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1,269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4,877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2025-01-02T01:38:42Z</dcterms:created>
  <dcterms:modified xsi:type="dcterms:W3CDTF">2025-01-02T01:38:42Z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